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3.0" w:type="dxa"/>
        <w:jc w:val="left"/>
        <w:tblInd w:w="-108.0" w:type="dxa"/>
        <w:tblLayout w:type="fixed"/>
        <w:tblLook w:val="0000"/>
      </w:tblPr>
      <w:tblGrid>
        <w:gridCol w:w="1898"/>
        <w:gridCol w:w="8305"/>
        <w:tblGridChange w:id="0">
          <w:tblGrid>
            <w:gridCol w:w="1898"/>
            <w:gridCol w:w="83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918210" cy="668655"/>
                  <wp:effectExtent b="0" l="0" r="0" t="0"/>
                  <wp:docPr id="102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210" cy="6686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ASD Gli Alfieri dello Stretto presenta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Trofeo «Scacco al Re»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c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Torneo Rapid – domenica 22 novembre 2026 – Chiesa «Maria Santissima delle Grazie», Pezzo, Villa San Giovanni (RC)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c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Torneo A Open Over 18 e Torneo B Open Under 18 – Validi per le variazioni Elo Rapid FIDE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008000" w:space="1" w:sz="8" w:val="single"/>
          <w:right w:color="auto" w:space="0" w:sz="0" w:val="none"/>
          <w:between w:space="0" w:sz="0" w:val="nil"/>
        </w:pBdr>
        <w:shd w:fill="auto" w:val="clear"/>
        <w:spacing w:after="3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008000" w:space="1" w:sz="4" w:val="single"/>
          <w:right w:color="auto" w:space="0" w:sz="0" w:val="none"/>
          <w:between w:space="0" w:sz="0" w:val="nil"/>
        </w:pBdr>
        <w:shd w:fill="auto" w:val="clear"/>
        <w:spacing w:after="25" w:before="7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  <w:rtl w:val="0"/>
        </w:rPr>
        <w:t xml:space="preserve">Informazioni e iscrizioni</w:t>
      </w:r>
      <w:r w:rsidDel="00000000" w:rsidR="00000000" w:rsidRPr="00000000">
        <w:rPr>
          <w:rtl w:val="0"/>
        </w:rPr>
      </w:r>
    </w:p>
    <w:tbl>
      <w:tblPr>
        <w:tblStyle w:val="Table2"/>
        <w:tblW w:w="10213.0" w:type="dxa"/>
        <w:jc w:val="left"/>
        <w:tblInd w:w="-108.0" w:type="dxa"/>
        <w:tblLayout w:type="fixed"/>
        <w:tblLook w:val="0000"/>
      </w:tblPr>
      <w:tblGrid>
        <w:gridCol w:w="1699"/>
        <w:gridCol w:w="3403"/>
        <w:gridCol w:w="1699"/>
        <w:gridCol w:w="3412"/>
        <w:tblGridChange w:id="0">
          <w:tblGrid>
            <w:gridCol w:w="1699"/>
            <w:gridCol w:w="3403"/>
            <w:gridCol w:w="1699"/>
            <w:gridCol w:w="34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Organizzazione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ASD Gli Alfieri dello Stretto – cod. affiliazione FSI 3043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Sede di gioco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  <w:right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Chiesa «Maria Santissima delle Grazie» 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lungomare  Cenide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Villa San Giovanni (RC)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Preiscrizioni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Obbligatoria entro le 20:00 di sabato 21 novembre 2026 su Vesus.org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  <w:right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Massimo Tricomi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324 542 9698 – maxtric77@gmail.com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Quote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€ 15 per ciascun partecipante (Torneo A e Torneo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Maggiorazione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  <w:right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+ € 5 per iscrizioni in sede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3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Torneo A aperto a tutte le giocatrici e giocatori nati entro il 2007; Torneo B aperto a tutte le giocatrici e giocatori nati dal 2008 in poi (età riferita al 1° gennaio, ROF art. 28.2). Richiesta la Tessera FSI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valida per l’anno corrente a giocatrici e giocatori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italiani e stranieri residenti in Italia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; per gli stranieri non res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identi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il FIN della propria Federazione prim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a dell’inizio dell’evento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. Indicare nella preiscrizione cognome, nome, data di nascita, Società, FIN e torneo (A o B). Posti disponibili:  50. Tesseramento possibile in sede.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Ai giocatori con disabilità o con particolari esigenze chiediamo di contattarci con un po’ di anticipo: saremo felici di organizzare tutto il necessario perché possano vivere il torneo nel modo più sereno e confortevole possibile.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008000" w:space="1" w:sz="4" w:val="single"/>
          <w:right w:color="auto" w:space="0" w:sz="0" w:val="none"/>
          <w:between w:space="0" w:sz="0" w:val="nil"/>
        </w:pBdr>
        <w:shd w:fill="auto" w:val="clear"/>
        <w:spacing w:after="25" w:before="7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  <w:rtl w:val="0"/>
        </w:rPr>
        <w:t xml:space="preserve">Modalità di pagamento</w:t>
      </w:r>
      <w:r w:rsidDel="00000000" w:rsidR="00000000" w:rsidRPr="00000000">
        <w:rPr>
          <w:rtl w:val="0"/>
        </w:rPr>
      </w:r>
    </w:p>
    <w:tbl>
      <w:tblPr>
        <w:tblStyle w:val="Table3"/>
        <w:tblW w:w="10213.0" w:type="dxa"/>
        <w:jc w:val="left"/>
        <w:tblInd w:w="-108.0" w:type="dxa"/>
        <w:tblLayout w:type="fixed"/>
        <w:tblLook w:val="0000"/>
      </w:tblPr>
      <w:tblGrid>
        <w:gridCol w:w="1699"/>
        <w:gridCol w:w="3403"/>
        <w:gridCol w:w="1699"/>
        <w:gridCol w:w="3412"/>
        <w:tblGridChange w:id="0">
          <w:tblGrid>
            <w:gridCol w:w="1699"/>
            <w:gridCol w:w="3403"/>
            <w:gridCol w:w="1699"/>
            <w:gridCol w:w="34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Intestatario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ASD Gli Alfieri dello Stretto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  <w:right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Banca BPM S.P.A. – filiale  Reggio Calabria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IT21S0503416300000000003271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Causale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  <w:right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Iscrizione Trofeo Scacco al Re – Torneo A/B – Cognome Nome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3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In alternativa: pagamento in sede in contanti  al momento dell’accreditamento.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008000" w:space="1" w:sz="4" w:val="single"/>
          <w:right w:color="auto" w:space="0" w:sz="0" w:val="none"/>
          <w:between w:space="0" w:sz="0" w:val="nil"/>
        </w:pBdr>
        <w:shd w:fill="auto" w:val="clear"/>
        <w:spacing w:after="25" w:before="7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  <w:rtl w:val="0"/>
        </w:rPr>
        <w:t xml:space="preserve">Calendario</w:t>
      </w:r>
      <w:r w:rsidDel="00000000" w:rsidR="00000000" w:rsidRPr="00000000">
        <w:rPr>
          <w:rtl w:val="0"/>
        </w:rPr>
      </w:r>
    </w:p>
    <w:tbl>
      <w:tblPr>
        <w:tblStyle w:val="Table4"/>
        <w:tblW w:w="10212.0" w:type="dxa"/>
        <w:jc w:val="left"/>
        <w:tblInd w:w="-108.0" w:type="dxa"/>
        <w:tblLayout w:type="fixed"/>
        <w:tblLook w:val="0000"/>
      </w:tblPr>
      <w:tblGrid>
        <w:gridCol w:w="1499"/>
        <w:gridCol w:w="1250"/>
        <w:gridCol w:w="1250"/>
        <w:gridCol w:w="1250"/>
        <w:gridCol w:w="1250"/>
        <w:gridCol w:w="1250"/>
        <w:gridCol w:w="1250"/>
        <w:gridCol w:w="1213"/>
        <w:tblGridChange w:id="0">
          <w:tblGrid>
            <w:gridCol w:w="1499"/>
            <w:gridCol w:w="1250"/>
            <w:gridCol w:w="1250"/>
            <w:gridCol w:w="1250"/>
            <w:gridCol w:w="1250"/>
            <w:gridCol w:w="1250"/>
            <w:gridCol w:w="1250"/>
            <w:gridCol w:w="121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0b6e3a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Accreditamento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0b6e3a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1° turno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0b6e3a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2° turno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0b6e3a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3° turno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0b6e3a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4° turno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0b6e3a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5° turno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0b6e3a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6° turno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  <w:right w:color="c0c0c0" w:space="0" w:sz="4" w:val="single"/>
            </w:tcBorders>
            <w:shd w:fill="0b6e3a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Premiazione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entro 14:45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15:00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15:35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16:10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16:45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17:20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17:55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  <w:right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 seguire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3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Turni il 22/11/2026. Accreditamento in sede entro l’orario indicato; i turni possono essere anticipati al termine del turno precedente su annuncio dell’arbitro.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008000" w:space="1" w:sz="4" w:val="single"/>
          <w:right w:color="auto" w:space="0" w:sz="0" w:val="none"/>
          <w:between w:space="0" w:sz="0" w:val="nil"/>
        </w:pBdr>
        <w:shd w:fill="auto" w:val="clear"/>
        <w:spacing w:after="25" w:before="7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  <w:rtl w:val="0"/>
        </w:rPr>
        <w:t xml:space="preserve">Regolamento tecnico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>
          <w:b w:val="1"/>
          <w:bCs w:val="1"/>
          <w:i w:val="0"/>
          <w:iCs w:val="0"/>
          <w:smallCaps w:val="0"/>
          <w:strike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Cadenza: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10 minuti + 5 secondi a mossa dalla prima, per ciascun giocatore.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>
          <w:b w:val="0"/>
          <w:bCs w:val="0"/>
          <w:i w:val="0"/>
          <w:iCs w:val="0"/>
          <w:smallCaps w:val="0"/>
          <w:strike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Sistema: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6 turni, Svizzero FIDE, per ciascun torneo. Ordine iniziale per Elo Rapid FIDE, poi Elo FIDE Standard, poi Elo Italia; ai giocatori senza rating si assegna 1399.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>
          <w:b w:val="1"/>
          <w:bCs w:val="1"/>
          <w:i w:val="0"/>
          <w:iCs w:val="0"/>
          <w:smallCaps w:val="0"/>
          <w:strike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Verrà applicata l’Appendice A.5 delle Laws of Chess.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>
          <w:b w:val="1"/>
          <w:bCs w:val="1"/>
          <w:i w:val="0"/>
          <w:iCs w:val="0"/>
          <w:smallCaps w:val="0"/>
          <w:strike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Tempo di tolleranza: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fino alla caduta della bandierina.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>
          <w:b w:val="1"/>
          <w:bCs w:val="1"/>
          <w:i w:val="0"/>
          <w:iCs w:val="0"/>
          <w:smallCaps w:val="0"/>
          <w:strike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Bye da abbinamento (PAB):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1 punto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>
          <w:b w:val="1"/>
          <w:bCs w:val="1"/>
          <w:i w:val="0"/>
          <w:iCs w:val="0"/>
          <w:smallCaps w:val="0"/>
          <w:strike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Assenze: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non sono previsti mezzi punti bye (HPB). Chi salta un turno lo comunica all’arbitro prima della pubblicazione degli abbinamenti e ottiene 0 punti; il forfeit ingiustificato comporta l’esclusione. Ingressi tardivi ammessi fino al 2° turno, con 0 punti per i turni non giocati.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>
          <w:b w:val="1"/>
          <w:bCs w:val="1"/>
          <w:i w:val="0"/>
          <w:iCs w:val="0"/>
          <w:smallCaps w:val="0"/>
          <w:strike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Risultati: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eventuali errori vanno segnalati all’arbitro entro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5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minuti dalla loro pubblicazione.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>
          <w:b w:val="1"/>
          <w:bCs w:val="1"/>
          <w:i w:val="0"/>
          <w:iCs w:val="0"/>
          <w:smallCaps w:val="0"/>
          <w:strike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Spareggi tecnici: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Buchholz Cut-1 (BH-C1), Buchholz Totale (BH), Sonneborn-Berger (SB), Punteggio Progressivo (PS), Vittorie sulla scacchiera (WON).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008000" w:space="1" w:sz="4" w:val="single"/>
          <w:right w:color="auto" w:space="0" w:sz="0" w:val="none"/>
          <w:between w:space="0" w:sz="0" w:val="nil"/>
        </w:pBdr>
        <w:shd w:fill="auto" w:val="clear"/>
        <w:spacing w:after="25" w:before="7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  <w:rtl w:val="0"/>
        </w:rPr>
        <w:t xml:space="preserve">Premi</w:t>
      </w:r>
      <w:r w:rsidDel="00000000" w:rsidR="00000000" w:rsidRPr="00000000">
        <w:rPr>
          <w:rtl w:val="0"/>
        </w:rPr>
      </w:r>
    </w:p>
    <w:tbl>
      <w:tblPr>
        <w:tblStyle w:val="Table5"/>
        <w:tblW w:w="10214.0" w:type="dxa"/>
        <w:jc w:val="left"/>
        <w:tblInd w:w="-108.0" w:type="dxa"/>
        <w:tblLayout w:type="fixed"/>
        <w:tblLook w:val="0000"/>
      </w:tblPr>
      <w:tblGrid>
        <w:gridCol w:w="1699"/>
        <w:gridCol w:w="1700"/>
        <w:gridCol w:w="1700"/>
        <w:gridCol w:w="1700"/>
        <w:gridCol w:w="3415"/>
        <w:tblGridChange w:id="0">
          <w:tblGrid>
            <w:gridCol w:w="1699"/>
            <w:gridCol w:w="1700"/>
            <w:gridCol w:w="1700"/>
            <w:gridCol w:w="1700"/>
            <w:gridCol w:w="34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1° Coppa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2° Coppa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3° Coppa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Torneo B: 1° Under 14, 1° Under 12, 1° Under 10 medaglie</w:t>
            </w:r>
          </w:p>
        </w:tc>
        <w:tc>
          <w:tcPr>
            <w:tcBorders>
              <w:top w:color="c0c0c0" w:space="0" w:sz="4" w:val="single"/>
              <w:left w:color="c0c0c0" w:space="0" w:sz="4" w:val="single"/>
              <w:bottom w:color="c0c0c0" w:space="0" w:sz="4" w:val="single"/>
              <w:right w:color="c0c0c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Torneo A: 1° Over 60 – premio– 1ª femminile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entrambi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3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Coppe ai primi tre classificati di ciascun torneo. Montepremi: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nessun premio in denaro . 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premi non sono cumulabili: si assegna quello di valore maggiore e, a parità, quello elencato prima. Categorie in base all’anno di nascita: Under 14 nati dal 2012, Under 12 dal 2014, Under 10 dal 2016, Over 60 entro il 1965.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I premi vanno ritirati personalmente.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0"/>
        <w:pBdr>
          <w:top w:color="auto" w:space="0" w:sz="0" w:val="none"/>
          <w:left w:color="auto" w:space="0" w:sz="0" w:val="none"/>
          <w:bottom w:color="008000" w:space="1" w:sz="4" w:val="single"/>
          <w:right w:color="auto" w:space="0" w:sz="0" w:val="none"/>
          <w:between w:space="0" w:sz="0" w:val="nil"/>
        </w:pBdr>
        <w:shd w:fill="auto" w:val="clear"/>
        <w:spacing w:after="25" w:before="7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b6e3a"/>
          <w:sz w:val="19"/>
          <w:szCs w:val="19"/>
          <w:u w:val="none"/>
          <w:shd w:fill="auto" w:val="clear"/>
          <w:vertAlign w:val="baseline"/>
          <w:rtl w:val="0"/>
        </w:rPr>
        <w:t xml:space="preserve">Disposizioni finali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Durante la partita è vietato avere con sé nella sede di gioco dispositivi elettronici non autorizzati dall’arbitro, pena la perdita della partita; i dispositivi possono essere custoditi spenti in una borsa collocata secondo le indicazioni dell’arbitro; l’arbitro può disporre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controlli, anche con metal detector. Le decisioni arbitrali sono inappellabili, salvo i casi previsti dai regolamenti FSI e FIDE. Con l’iscrizione si autorizzano il trattamento dei dati personali (Reg. UE 2016/679) e la pubblicazione di nominativi, dati federali, risultati, foto e video per i fini istituzionali della FSI e di ASD Gli Alfieri dello Stretto (titolare del trattamento: ASD Gli Alfieri dello Stretto –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3245429698). 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er quanto non previsto dal presente bando, si rimanda ai Regolamenti FSI e FIDE. Il bando è modificabile solo con l’approvazione dell’organo che lo ha autorizzato; l’iscrizione comporta la sua accettazione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620" w:top="680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20" w:hanging="160"/>
      </w:pPr>
      <w:rPr>
        <w:rFonts w:ascii="Noto Sans Symbols" w:cs="Noto Sans Symbols" w:eastAsia="Noto Sans Symbols" w:hAnsi="Noto Sans Symbols"/>
        <w:color w:val="0b6e3a"/>
        <w:sz w:val="18"/>
        <w:szCs w:val="18"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18"/>
      <w:szCs w:val="18"/>
      <w:effect w:val="none"/>
      <w:vertAlign w:val="baseline"/>
      <w:cs w:val="0"/>
      <w:em w:val="none"/>
      <w:lang w:bidi="hi-IN" w:eastAsia="zh-CN" w:val="it-IT"/>
    </w:rPr>
  </w:style>
  <w:style w:type="paragraph" w:styleId="Intestazione1">
    <w:name w:val="Intestazione 1"/>
    <w:basedOn w:val="Intestazione"/>
    <w:next w:val="Corpotesto"/>
    <w:autoRedefine w:val="0"/>
    <w:hidden w:val="0"/>
    <w:qFormat w:val="0"/>
    <w:pPr>
      <w:keepNext w:val="1"/>
      <w:widowControl w:val="0"/>
      <w:numPr>
        <w:ilvl w:val="0"/>
        <w:numId w:val="1"/>
      </w:numPr>
      <w:suppressAutoHyphens w:val="0"/>
      <w:bidi w:val="0"/>
      <w:spacing w:after="120" w:before="240"/>
      <w:ind w:left="0" w:right="0" w:leftChars="-1" w:rightChars="0" w:firstLine="0" w:firstLineChars="-1"/>
      <w:textDirection w:val="btLr"/>
      <w:textAlignment w:val="top"/>
      <w:outlineLvl w:val="0"/>
    </w:pPr>
    <w:rPr>
      <w:rFonts w:ascii="Arial" w:cs="Arial" w:eastAsia="Microsoft YaHei" w:hAnsi="Arial"/>
      <w:color w:val="2e74b5"/>
      <w:w w:val="100"/>
      <w:position w:val="-1"/>
      <w:sz w:val="32"/>
      <w:szCs w:val="32"/>
      <w:effect w:val="none"/>
      <w:vertAlign w:val="baseline"/>
      <w:cs w:val="0"/>
      <w:em w:val="none"/>
      <w:lang w:bidi="hi-IN" w:eastAsia="zh-CN" w:val="it-IT"/>
    </w:rPr>
  </w:style>
  <w:style w:type="paragraph" w:styleId="Intestazione2">
    <w:name w:val="Intestazione 2"/>
    <w:basedOn w:val="Intestazione"/>
    <w:next w:val="Corpotesto"/>
    <w:autoRedefine w:val="0"/>
    <w:hidden w:val="0"/>
    <w:qFormat w:val="0"/>
    <w:pPr>
      <w:keepNext w:val="1"/>
      <w:widowControl w:val="0"/>
      <w:numPr>
        <w:ilvl w:val="1"/>
        <w:numId w:val="1"/>
      </w:numPr>
      <w:suppressAutoHyphens w:val="0"/>
      <w:bidi w:val="0"/>
      <w:spacing w:after="120" w:before="240"/>
      <w:ind w:left="0" w:right="0" w:leftChars="-1" w:rightChars="0" w:firstLine="0" w:firstLineChars="-1"/>
      <w:textDirection w:val="btLr"/>
      <w:textAlignment w:val="top"/>
      <w:outlineLvl w:val="1"/>
    </w:pPr>
    <w:rPr>
      <w:rFonts w:ascii="Arial" w:cs="Arial" w:eastAsia="Microsoft YaHei" w:hAnsi="Arial"/>
      <w:color w:val="2e74b5"/>
      <w:w w:val="100"/>
      <w:position w:val="-1"/>
      <w:sz w:val="26"/>
      <w:szCs w:val="26"/>
      <w:effect w:val="none"/>
      <w:vertAlign w:val="baseline"/>
      <w:cs w:val="0"/>
      <w:em w:val="none"/>
      <w:lang w:bidi="hi-IN" w:eastAsia="zh-CN" w:val="it-IT"/>
    </w:rPr>
  </w:style>
  <w:style w:type="paragraph" w:styleId="Intestazione3">
    <w:name w:val="Intestazione 3"/>
    <w:basedOn w:val="Intestazione"/>
    <w:next w:val="Corpotesto"/>
    <w:autoRedefine w:val="0"/>
    <w:hidden w:val="0"/>
    <w:qFormat w:val="0"/>
    <w:pPr>
      <w:keepNext w:val="1"/>
      <w:widowControl w:val="0"/>
      <w:numPr>
        <w:ilvl w:val="2"/>
        <w:numId w:val="1"/>
      </w:numPr>
      <w:suppressAutoHyphens w:val="0"/>
      <w:bidi w:val="0"/>
      <w:spacing w:after="120" w:before="240"/>
      <w:ind w:left="0" w:right="0" w:leftChars="-1" w:rightChars="0" w:firstLine="0" w:firstLineChars="-1"/>
      <w:textDirection w:val="btLr"/>
      <w:textAlignment w:val="top"/>
      <w:outlineLvl w:val="2"/>
    </w:pPr>
    <w:rPr>
      <w:rFonts w:ascii="Arial" w:cs="Arial" w:eastAsia="Microsoft YaHei" w:hAnsi="Arial"/>
      <w:color w:val="1f4d78"/>
      <w:w w:val="100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testazione4">
    <w:name w:val="Intestazione 4"/>
    <w:basedOn w:val="Intestazione"/>
    <w:next w:val="Corpotesto"/>
    <w:autoRedefine w:val="0"/>
    <w:hidden w:val="0"/>
    <w:qFormat w:val="0"/>
    <w:pPr>
      <w:keepNext w:val="1"/>
      <w:widowControl w:val="0"/>
      <w:numPr>
        <w:ilvl w:val="3"/>
        <w:numId w:val="1"/>
      </w:numPr>
      <w:suppressAutoHyphens w:val="0"/>
      <w:bidi w:val="0"/>
      <w:spacing w:after="120" w:before="240"/>
      <w:ind w:left="0" w:right="0" w:leftChars="-1" w:rightChars="0" w:firstLine="0" w:firstLineChars="-1"/>
      <w:textDirection w:val="btLr"/>
      <w:textAlignment w:val="top"/>
      <w:outlineLvl w:val="3"/>
    </w:pPr>
    <w:rPr>
      <w:rFonts w:ascii="Arial" w:cs="Arial" w:eastAsia="Microsoft YaHei" w:hAnsi="Arial"/>
      <w:i w:val="1"/>
      <w:iCs w:val="1"/>
      <w:color w:val="2e74b5"/>
      <w:w w:val="100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Intestazione5">
    <w:name w:val="Intestazione 5"/>
    <w:basedOn w:val="Intestazione"/>
    <w:next w:val="Corpotesto"/>
    <w:autoRedefine w:val="0"/>
    <w:hidden w:val="0"/>
    <w:qFormat w:val="0"/>
    <w:pPr>
      <w:keepNext w:val="1"/>
      <w:widowControl w:val="0"/>
      <w:numPr>
        <w:ilvl w:val="4"/>
        <w:numId w:val="1"/>
      </w:numPr>
      <w:suppressAutoHyphens w:val="0"/>
      <w:bidi w:val="0"/>
      <w:spacing w:after="120" w:before="240"/>
      <w:ind w:left="0" w:right="0" w:leftChars="-1" w:rightChars="0" w:firstLine="0" w:firstLineChars="-1"/>
      <w:textDirection w:val="btLr"/>
      <w:textAlignment w:val="top"/>
      <w:outlineLvl w:val="4"/>
    </w:pPr>
    <w:rPr>
      <w:rFonts w:ascii="Arial" w:cs="Arial" w:eastAsia="Microsoft YaHei" w:hAnsi="Arial"/>
      <w:color w:val="2e74b5"/>
      <w:w w:val="100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Intestazione6">
    <w:name w:val="Intestazione 6"/>
    <w:basedOn w:val="Intestazione"/>
    <w:next w:val="Corpotesto"/>
    <w:autoRedefine w:val="0"/>
    <w:hidden w:val="0"/>
    <w:qFormat w:val="0"/>
    <w:pPr>
      <w:keepNext w:val="1"/>
      <w:widowControl w:val="0"/>
      <w:numPr>
        <w:ilvl w:val="5"/>
        <w:numId w:val="1"/>
      </w:numPr>
      <w:suppressAutoHyphens w:val="0"/>
      <w:bidi w:val="0"/>
      <w:spacing w:after="120" w:before="240"/>
      <w:ind w:left="0" w:right="0" w:leftChars="-1" w:rightChars="0" w:firstLine="0" w:firstLineChars="-1"/>
      <w:textDirection w:val="btLr"/>
      <w:textAlignment w:val="top"/>
      <w:outlineLvl w:val="5"/>
    </w:pPr>
    <w:rPr>
      <w:rFonts w:ascii="Arial" w:cs="Arial" w:eastAsia="Microsoft YaHei" w:hAnsi="Arial"/>
      <w:color w:val="1f4d78"/>
      <w:w w:val="100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eastAsia="Calibri" w:hAnsi="Symbol"/>
      <w:color w:val="0b6e3a"/>
      <w:w w:val="100"/>
      <w:position w:val="-1"/>
      <w:sz w:val="18"/>
      <w:szCs w:val="18"/>
      <w:effect w:val="none"/>
      <w:shd w:color="auto" w:fill="ffffff" w:val="clear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563c1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endnotereference">
    <w:name w:val="endnote reference"/>
    <w:next w:val="end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EndnoteTextChar">
    <w:name w:val="Endnote Text Char"/>
    <w:next w:val="EndnoteTextChar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0"/>
      <w:suppressAutoHyphens w:val="0"/>
      <w:bidi w:val="0"/>
      <w:spacing w:after="120" w:before="240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0"/>
      <w:suppressAutoHyphens w:val="0"/>
      <w:bidi w:val="0"/>
      <w:spacing w:after="120" w:before="0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18"/>
      <w:szCs w:val="18"/>
      <w:effect w:val="none"/>
      <w:vertAlign w:val="baseline"/>
      <w:cs w:val="0"/>
      <w:em w:val="none"/>
      <w:lang w:bidi="hi-IN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bidi w:val="0"/>
      <w:spacing w:after="120" w:before="0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18"/>
      <w:szCs w:val="18"/>
      <w:effect w:val="none"/>
      <w:vertAlign w:val="baseline"/>
      <w:cs w:val="0"/>
      <w:em w:val="none"/>
      <w:lang w:bidi="hi-IN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18"/>
      <w:szCs w:val="18"/>
      <w:effect w:val="none"/>
      <w:vertAlign w:val="baseline"/>
      <w:cs w:val="0"/>
      <w:em w:val="none"/>
      <w:lang w:bidi="hi-IN" w:eastAsia="zh-CN" w:val="it-IT"/>
    </w:rPr>
  </w:style>
  <w:style w:type="paragraph" w:styleId="Titolo">
    <w:name w:val="Titolo"/>
    <w:basedOn w:val="Intestazione"/>
    <w:next w:val="Sottotitolo"/>
    <w:autoRedefine w:val="0"/>
    <w:hidden w:val="0"/>
    <w:qFormat w:val="0"/>
    <w:pPr>
      <w:keepNext w:val="1"/>
      <w:widowControl w:val="0"/>
      <w:numPr>
        <w:ilvl w:val="0"/>
        <w:numId w:val="0"/>
      </w:numPr>
      <w:suppressAutoHyphens w:val="0"/>
      <w:bidi w:val="0"/>
      <w:spacing w:after="120" w:before="240"/>
      <w:ind w:left="0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Arial" w:eastAsia="Microsoft YaHei" w:hAnsi="Arial"/>
      <w:b w:val="1"/>
      <w:bCs w:val="1"/>
      <w:w w:val="100"/>
      <w:position w:val="-1"/>
      <w:sz w:val="56"/>
      <w:szCs w:val="56"/>
      <w:effect w:val="none"/>
      <w:vertAlign w:val="baseline"/>
      <w:cs w:val="0"/>
      <w:em w:val="none"/>
      <w:lang w:bidi="hi-IN" w:eastAsia="zh-CN" w:val="it-IT"/>
    </w:rPr>
  </w:style>
  <w:style w:type="paragraph" w:styleId="Sottotitolo">
    <w:name w:val="Sottotitolo"/>
    <w:basedOn w:val="Intestazione"/>
    <w:next w:val="Corpotesto"/>
    <w:autoRedefine w:val="0"/>
    <w:hidden w:val="0"/>
    <w:qFormat w:val="0"/>
    <w:pPr>
      <w:keepNext w:val="1"/>
      <w:widowControl w:val="0"/>
      <w:suppressAutoHyphens w:val="0"/>
      <w:bidi w:val="0"/>
      <w:spacing w:after="120" w:before="240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Microsoft YaHei" w:hAnsi="Arial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hi-IN" w:eastAsia="zh-CN" w:val="it-IT"/>
    </w:rPr>
  </w:style>
  <w:style w:type="paragraph" w:styleId="StrongEmphasis">
    <w:name w:val="Strong Emphasis"/>
    <w:next w:val="StrongEmphasis"/>
    <w:autoRedefine w:val="0"/>
    <w:hidden w:val="0"/>
    <w:qFormat w:val="0"/>
    <w:pPr>
      <w:widowControl w:val="0"/>
      <w:numPr>
        <w:ilvl w:val="0"/>
        <w:numId w:val="0"/>
      </w:numPr>
      <w:suppressAutoHyphens w:val="0"/>
      <w:spacing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hi-IN" w:eastAsia="zh-CN" w:val="it-IT"/>
    </w:rPr>
  </w:style>
  <w:style w:type="paragraph" w:styleId="ListParagraph">
    <w:name w:val="List Paragraph"/>
    <w:next w:val="ListParagraph"/>
    <w:autoRedefine w:val="0"/>
    <w:hidden w:val="0"/>
    <w:qFormat w:val="0"/>
    <w:pPr>
      <w:widowControl w:val="0"/>
      <w:numPr>
        <w:ilvl w:val="0"/>
        <w:numId w:val="0"/>
      </w:numPr>
      <w:suppressAutoHyphens w:val="0"/>
      <w:spacing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18"/>
      <w:szCs w:val="18"/>
      <w:effect w:val="none"/>
      <w:vertAlign w:val="baseline"/>
      <w:cs w:val="0"/>
      <w:em w:val="none"/>
      <w:lang w:bidi="hi-IN" w:eastAsia="zh-CN" w:val="it-IT"/>
    </w:rPr>
  </w:style>
  <w:style w:type="paragraph" w:styleId="footnotetext">
    <w:name w:val="footnote text"/>
    <w:next w:val="footnotetext"/>
    <w:autoRedefine w:val="0"/>
    <w:hidden w:val="0"/>
    <w:qFormat w:val="0"/>
    <w:pPr>
      <w:widowControl w:val="0"/>
      <w:numPr>
        <w:ilvl w:val="0"/>
        <w:numId w:val="0"/>
      </w:numPr>
      <w:suppressAutoHyphens w:val="0"/>
      <w:spacing w:after="0" w:before="0"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 w:bidi="hi-IN" w:eastAsia="zh-CN" w:val="it-IT"/>
    </w:rPr>
  </w:style>
  <w:style w:type="paragraph" w:styleId="endnotetext">
    <w:name w:val="endnote text"/>
    <w:next w:val="endnotetext"/>
    <w:autoRedefine w:val="0"/>
    <w:hidden w:val="0"/>
    <w:qFormat w:val="0"/>
    <w:pPr>
      <w:widowControl w:val="0"/>
      <w:numPr>
        <w:ilvl w:val="0"/>
        <w:numId w:val="0"/>
      </w:numPr>
      <w:suppressAutoHyphens w:val="0"/>
      <w:spacing w:after="0" w:before="0"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 w:bidi="hi-IN" w:eastAsia="zh-CN" w:val="it-IT"/>
    </w:rPr>
  </w:style>
  <w:style w:type="paragraph" w:styleId="Contenutotabella">
    <w:name w:val="Contenuto tabella"/>
    <w:basedOn w:val="Predefinito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18"/>
      <w:szCs w:val="18"/>
      <w:effect w:val="none"/>
      <w:vertAlign w:val="baseline"/>
      <w:cs w:val="0"/>
      <w:em w:val="none"/>
      <w:lang w:bidi="hi-IN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alibri" w:cs="Calibri" w:eastAsia="Calibri" w:hAnsi="Calibri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hi-IN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Aw+j7qQ9Io4hIzytYJg2CTwvtg==">CgMxLjA4AHIhMWxtbHB1QlV0YnJhS2dhZm45eXNWdGEyWFFSM2Z1dFZX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2026-10-05T18:16:36Z</dcterms:created>
  <dc:creator>Davide Nudo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