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4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00"/>
        <w:gridCol w:w="7766"/>
      </w:tblGrid>
      <w:tr>
        <w:trPr>
          <w:cantSplit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0"/>
              <w:jc w:val="left"/>
            </w:pPr>
            <w:r>
              <w:drawing>
                <wp:inline distT="0" distB="0" distL="0" distR="0">
                  <wp:extent cx="1440000" cy="1048373"/>
                  <wp:docPr id="101" name="Logo FSI 101" descr="Logo Federazione Scacchistica Italiana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logo_fsi.png"/>
                          <pic:cNvPicPr/>
                        </pic:nvPicPr>
                        <pic:blipFill>
                          <a:blip r:embed="rIdLogoFS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48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20"/>
              <w:jc w:val="righ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30"/>
                <w:szCs w:val="30"/>
              </w:rPr>
              <w:t xml:space="preserve">MEMORIAL SANDRO SCALISE</w:t>
            </w:r>
          </w:p>
          <w:p>
            <w:pPr>
              <w:spacing w:before="0" w:after="80"/>
              <w:jc w:val="righ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 xml:space="preserve">Catanzaro, 5 – 7 dicembre 2026</w:t>
            </w:r>
          </w:p>
          <w:p>
            <w:pPr>
              <w:spacing w:before="0" w:after="0"/>
              <w:jc w:val="right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 xml:space="preserve">Sede di gioco: </w:t>
            </w:r>
            <w:r>
              <w:rPr>
                <w:b/>
                <w:bCs/>
                <w:color w:val="auto"/>
                <w:sz w:val="21"/>
                <w:szCs w:val="21"/>
              </w:rPr>
              <w:t xml:space="preserve">Benny Hotel</w:t>
            </w:r>
          </w:p>
          <w:p>
            <w:pPr>
              <w:spacing w:before="0" w:after="80"/>
              <w:jc w:val="right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Via Gioacchino da Fiore 2, 88100 Catanzaro (CZ)</w:t>
            </w:r>
          </w:p>
          <w:p>
            <w:pPr>
              <w:spacing w:before="0" w:after="0"/>
              <w:jc w:val="righ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i/>
                <w:iCs/>
                <w:color w:val="1F3A5F"/>
                <w:sz w:val="20"/>
                <w:szCs w:val="20"/>
              </w:rPr>
              <w:t xml:space="preserve">Valido per le variazioni Elo FIDE Standard</w:t>
            </w:r>
          </w:p>
        </w:tc>
      </w:tr>
    </w:tbl>
    <w:p>
      <w:pPr>
        <w:pBdr>
          <w:bottom w:val="double" w:color="1F3A5F" w:sz="6" w:space="4"/>
        </w:pBdr>
        <w:spacing w:before="0" w:after="100"/>
        <w:jc w:val="both"/>
        <w:rPr>
          <w:color w:val="auto"/>
          <w:sz w:val="17"/>
          <w:szCs w:val="17"/>
        </w:rPr>
      </w:pPr>
      <w:r>
        <w:rPr>
          <w:b w:val="0"/>
          <w:bCs w:val="0"/>
          <w:color w:val="auto"/>
          <w:sz w:val="8"/>
          <w:szCs w:val="8"/>
        </w:rPr>
        <w:t xml:space="preserve"/>
      </w:r>
    </w:p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7"/>
          <w:szCs w:val="17"/>
        </w:rPr>
      </w:pPr>
      <w:r>
        <w:rPr>
          <w:b/>
          <w:bCs/>
          <w:color w:val="auto"/>
          <w:sz w:val="17"/>
          <w:szCs w:val="17"/>
        </w:rPr>
        <w:t xml:space="preserve">ISCRIZIONI E AMMISSIONE</w:t>
      </w:r>
    </w:p>
    <w:tbl>
      <w:tblPr>
        <w:tblStyle w:val="9"/>
        <w:tblW w:w="10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7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Preiscrizione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Obbligatoria su vesus.org entro il 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4 dicembre 2026, ore 23:59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Quota d'iscrizione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Torneo A 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€ 50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 – Torneo B 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€ 40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 – Torneo C 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€ 30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 (maggiorazione di 5 € dal 2 dicembre)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Ammissioni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Giocatori italiani e stranieri residenti in Italia: Tessera FSI 2026 Agonistica o Junior, oppure la sola Tessera FSI 2027 dello stesso tipo. Giocatori stranieri non residenti in Italia: essere in possesso del FIN prima dell'inizio del torneo.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Rating di riferimento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Elo FIDE Standard della lista del 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1° dicembre 2026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; per i giocatori che ne sono privi vale l'Elo Italia, altrimenti 1399.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Ingressi tardivi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I giocatori che non confermano la presenza entro le 16:30 di sabato 5 dicembre saranno abbinati come ingresso tardivo al 2° turno e con 0 punti in classifica.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Info e contatti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Angelo Scrimieri 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393 755 1883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 – Sergio De Zerbi 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331 707 0568</w:t>
            </w:r>
          </w:p>
        </w:tc>
      </w:tr>
    </w:tbl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7"/>
          <w:szCs w:val="17"/>
        </w:rPr>
      </w:pPr>
      <w:r>
        <w:rPr>
          <w:b/>
          <w:bCs/>
          <w:color w:val="auto"/>
          <w:sz w:val="17"/>
          <w:szCs w:val="17"/>
        </w:rPr>
        <w:t xml:space="preserve">DETTAGLI TECNICI</w:t>
      </w:r>
    </w:p>
    <w:tbl>
      <w:tblPr>
        <w:tblStyle w:val="9"/>
        <w:tblW w:w="10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2655"/>
        <w:gridCol w:w="2655"/>
        <w:gridCol w:w="2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Torneo A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Torneo B</w:t>
            </w:r>
          </w:p>
        </w:tc>
        <w:tc>
          <w:tcPr>
            <w:tcW w:w="265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Torneo 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Fascia Elo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Elo ≥ 1801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Elo 1550 – 1800</w:t>
            </w:r>
          </w:p>
        </w:tc>
        <w:tc>
          <w:tcPr>
            <w:tcW w:w="265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Elo ≤ 1549 e NC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Formula</w:t>
            </w:r>
          </w:p>
        </w:tc>
        <w:tc>
          <w:tcPr>
            <w:tcW w:w="7966" w:type="dxa"/>
            <w:gridSpan w:val="3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Svizzero FIDE, 5 turni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Cadenza</w:t>
            </w:r>
          </w:p>
        </w:tc>
        <w:tc>
          <w:tcPr>
            <w:tcW w:w="7966" w:type="dxa"/>
            <w:gridSpan w:val="3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90 min + 30 sec/mossa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Tempo di tolleranza</w:t>
            </w:r>
          </w:p>
        </w:tc>
        <w:tc>
          <w:tcPr>
            <w:tcW w:w="7966" w:type="dxa"/>
            <w:gridSpan w:val="3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30 minuti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Bye da abbinamento</w:t>
            </w:r>
          </w:p>
        </w:tc>
        <w:tc>
          <w:tcPr>
            <w:tcW w:w="7966" w:type="dxa"/>
            <w:gridSpan w:val="3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½ punto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Spareggi tecnici</w:t>
            </w:r>
          </w:p>
        </w:tc>
        <w:tc>
          <w:tcPr>
            <w:tcW w:w="7966" w:type="dxa"/>
            <w:gridSpan w:val="3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1. Buchholz Cut-1 (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BH-C1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) – 2. Buchholz (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BH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) – 3. Sonneborn-Berger (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SB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) – 4. Media Performance degli Avversari (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APRO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) – Handbook FIDE C.07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Patta a forfait</w:t>
            </w:r>
          </w:p>
        </w:tc>
        <w:tc>
          <w:tcPr>
            <w:tcW w:w="7966" w:type="dxa"/>
            <w:gridSpan w:val="3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Non consentita (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art. 6.3.1 RTF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)</w:t>
            </w:r>
          </w:p>
        </w:tc>
      </w:tr>
    </w:tbl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7"/>
          <w:szCs w:val="17"/>
        </w:rPr>
      </w:pPr>
      <w:r>
        <w:rPr>
          <w:b/>
          <w:bCs/>
          <w:color w:val="auto"/>
          <w:sz w:val="17"/>
          <w:szCs w:val="17"/>
        </w:rPr>
        <w:t xml:space="preserve">CALENDARIO</w:t>
      </w:r>
    </w:p>
    <w:tbl>
      <w:tblPr>
        <w:tblStyle w:val="9"/>
        <w:tblW w:w="10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2600"/>
        <w:gridCol w:w="5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Giorno</w:t>
            </w:r>
          </w:p>
        </w:tc>
        <w:tc>
          <w:tcPr>
            <w:tcW w:w="26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Mattina</w:t>
            </w:r>
          </w:p>
        </w:tc>
        <w:tc>
          <w:tcPr>
            <w:tcW w:w="53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Pomeriggio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Sabato 5 dicembre</w:t>
            </w:r>
          </w:p>
        </w:tc>
        <w:tc>
          <w:tcPr>
            <w:tcW w:w="26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—</w:t>
            </w:r>
          </w:p>
        </w:tc>
        <w:tc>
          <w:tcPr>
            <w:tcW w:w="53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Accredito giocatori 15:30 – 16:30 · </w:t>
            </w:r>
            <w:r>
              <w:rPr>
                <w:b/>
                <w:bCs/>
                <w:color w:val="auto"/>
                <w:sz w:val="17"/>
                <w:szCs w:val="17"/>
              </w:rPr>
              <w:t xml:space="preserve">1° turno 17:00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Domenica 6 dicembre</w:t>
            </w:r>
          </w:p>
        </w:tc>
        <w:tc>
          <w:tcPr>
            <w:tcW w:w="26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2° turno 9:00</w:t>
            </w:r>
          </w:p>
        </w:tc>
        <w:tc>
          <w:tcPr>
            <w:tcW w:w="53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3° turno 16:00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Lunedì 7 dicembre</w:t>
            </w:r>
          </w:p>
        </w:tc>
        <w:tc>
          <w:tcPr>
            <w:tcW w:w="26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4° turno 9:00</w:t>
            </w:r>
          </w:p>
        </w:tc>
        <w:tc>
          <w:tcPr>
            <w:tcW w:w="53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5° turno 16:00</w:t>
            </w: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 · Premiazione a seguire</w:t>
            </w:r>
          </w:p>
        </w:tc>
      </w:tr>
    </w:tbl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7"/>
          <w:szCs w:val="17"/>
        </w:rPr>
      </w:pPr>
      <w:r>
        <w:rPr>
          <w:b/>
          <w:bCs/>
          <w:color w:val="auto"/>
          <w:sz w:val="17"/>
          <w:szCs w:val="17"/>
        </w:rPr>
        <w:t xml:space="preserve">PREMIAZIONI</w:t>
      </w:r>
    </w:p>
    <w:tbl>
      <w:tblPr>
        <w:tblStyle w:val="9"/>
        <w:tblW w:w="10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2655"/>
        <w:gridCol w:w="2655"/>
        <w:gridCol w:w="2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Classifica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Torneo A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Torneo B</w:t>
            </w:r>
          </w:p>
        </w:tc>
        <w:tc>
          <w:tcPr>
            <w:tcW w:w="265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Torneo 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1° classificato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€ 299 + coppa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€ 150 + coppa</w:t>
            </w:r>
          </w:p>
        </w:tc>
        <w:tc>
          <w:tcPr>
            <w:tcW w:w="265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€ 90 + coppa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2° classificato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€ 150 + coppa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€ 80 + coppa</w:t>
            </w:r>
          </w:p>
        </w:tc>
        <w:tc>
          <w:tcPr>
            <w:tcW w:w="265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€ 60 + coppa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3° classificato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€ 100 + coppa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€ 40 + coppa</w:t>
            </w:r>
          </w:p>
        </w:tc>
        <w:tc>
          <w:tcPr>
            <w:tcW w:w="265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€ 30 + coppa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Premi speciali (coppa)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1° Under 18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1° Under 18</w:t>
            </w:r>
          </w:p>
        </w:tc>
        <w:tc>
          <w:tcPr>
            <w:tcW w:w="265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 w:val="0"/>
                <w:bCs w:val="0"/>
                <w:color w:val="auto"/>
                <w:sz w:val="17"/>
                <w:szCs w:val="17"/>
              </w:rPr>
              <w:t xml:space="preserve">1° Under 14 / 12 / 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Totale in denaro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€ 550</w:t>
            </w:r>
          </w:p>
        </w:tc>
        <w:tc>
          <w:tcPr>
            <w:tcW w:w="2655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€ 270</w:t>
            </w:r>
          </w:p>
        </w:tc>
        <w:tc>
          <w:tcPr>
            <w:tcW w:w="265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€ 180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Montepremi totale</w:t>
            </w:r>
          </w:p>
        </w:tc>
        <w:tc>
          <w:tcPr>
            <w:tcW w:w="7966" w:type="dxa"/>
            <w:gridSpan w:val="3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25" w:type="dxa"/>
              <w:left w:w="100" w:type="dxa"/>
              <w:bottom w:w="2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  <w:sz w:val="17"/>
                <w:szCs w:val="17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 xml:space="preserve">€ 1.000</w:t>
            </w:r>
          </w:p>
        </w:tc>
      </w:tr>
    </w:tbl>
    <w:p>
      <w:pPr>
        <w:spacing w:before="60" w:after="0"/>
        <w:jc w:val="both"/>
        <w:rPr>
          <w:color w:val="auto"/>
          <w:sz w:val="17"/>
          <w:szCs w:val="17"/>
        </w:rPr>
      </w:pPr>
      <w:r>
        <w:rPr>
          <w:b w:val="0"/>
          <w:bCs w:val="0"/>
          <w:color w:val="auto"/>
          <w:sz w:val="17"/>
          <w:szCs w:val="17"/>
        </w:rPr>
        <w:t xml:space="preserve">Fasce d'età: Under 18 nati dal 1° gennaio 2008; Under 14 dal 1° gennaio 2012; Under 12 dal 1° gennaio 2014; Under 10 dal 1° gennaio 2016. Premi in denaro al lordo delle norme fiscali vigenti, non divisibili né cumulabili. La cerimonia di premiazione è parte integrante dell'evento.</w:t>
      </w:r>
    </w:p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7"/>
          <w:szCs w:val="17"/>
        </w:rPr>
      </w:pPr>
      <w:r>
        <w:rPr>
          <w:b/>
          <w:bCs/>
          <w:color w:val="auto"/>
          <w:sz w:val="17"/>
          <w:szCs w:val="17"/>
        </w:rPr>
        <w:t xml:space="preserve">ULTERIORI INFORMAZIONI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7"/>
          <w:szCs w:val="17"/>
        </w:rPr>
      </w:pPr>
      <w:r>
        <w:rPr>
          <w:b w:val="0"/>
          <w:bCs w:val="0"/>
          <w:color w:val="auto"/>
          <w:sz w:val="17"/>
          <w:szCs w:val="17"/>
        </w:rPr>
        <w:t xml:space="preserve">Per quanto non previsto dal presente bando si applicano i Regolamenti FSI e FIDE vigenti.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7"/>
          <w:szCs w:val="17"/>
        </w:rPr>
      </w:pPr>
      <w:r>
        <w:rPr>
          <w:b w:val="0"/>
          <w:bCs w:val="0"/>
          <w:color w:val="auto"/>
          <w:sz w:val="17"/>
          <w:szCs w:val="17"/>
        </w:rPr>
        <w:t xml:space="preserve">Nell'area di gioco è vietato portare telefoni cellulari o altri dispositivi elettronici non autorizzati dall'arbitro, salvo che siano completamente spenti e riposti in una borsa, che non può essere portata con sé senza il permesso dell'arbitro. La violazione comporta la perdita della partita (</w:t>
      </w:r>
      <w:r>
        <w:rPr>
          <w:b/>
          <w:bCs/>
          <w:color w:val="auto"/>
          <w:sz w:val="17"/>
          <w:szCs w:val="17"/>
        </w:rPr>
        <w:t xml:space="preserve">art. 11.3 Regolamento FIDE</w:t>
      </w:r>
      <w:r>
        <w:rPr>
          <w:b w:val="0"/>
          <w:bCs w:val="0"/>
          <w:color w:val="auto"/>
          <w:sz w:val="17"/>
          <w:szCs w:val="17"/>
        </w:rPr>
        <w:t xml:space="preserve">).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7"/>
          <w:szCs w:val="17"/>
        </w:rPr>
      </w:pPr>
      <w:r>
        <w:rPr>
          <w:b w:val="0"/>
          <w:bCs w:val="0"/>
          <w:color w:val="auto"/>
          <w:sz w:val="17"/>
          <w:szCs w:val="17"/>
        </w:rPr>
        <w:t xml:space="preserve">Il giocatore che intende assentarsi per un turno deve comunicarlo agli arbitri prima della pubblicazione degli abbinamenti definitivi di quel turno (</w:t>
      </w:r>
      <w:r>
        <w:rPr>
          <w:b/>
          <w:bCs/>
          <w:color w:val="auto"/>
          <w:sz w:val="17"/>
          <w:szCs w:val="17"/>
        </w:rPr>
        <w:t xml:space="preserve">art. 6.2.1 RTF</w:t>
      </w:r>
      <w:r>
        <w:rPr>
          <w:b w:val="0"/>
          <w:bCs w:val="0"/>
          <w:color w:val="auto"/>
          <w:sz w:val="17"/>
          <w:szCs w:val="17"/>
        </w:rPr>
        <w:t xml:space="preserve">).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7"/>
          <w:szCs w:val="17"/>
        </w:rPr>
      </w:pPr>
      <w:r>
        <w:rPr>
          <w:b w:val="0"/>
          <w:bCs w:val="0"/>
          <w:color w:val="auto"/>
          <w:sz w:val="17"/>
          <w:szCs w:val="17"/>
        </w:rPr>
        <w:t xml:space="preserve">Le decisioni dell'Arbitro Principale sono inappellabili, salvo i casi previsti dai regolamenti FSI e FIDE (</w:t>
      </w:r>
      <w:r>
        <w:rPr>
          <w:b/>
          <w:bCs/>
          <w:color w:val="auto"/>
          <w:sz w:val="17"/>
          <w:szCs w:val="17"/>
        </w:rPr>
        <w:t xml:space="preserve">art. 6.7.2 RTF</w:t>
      </w:r>
      <w:r>
        <w:rPr>
          <w:b w:val="0"/>
          <w:bCs w:val="0"/>
          <w:color w:val="auto"/>
          <w:sz w:val="17"/>
          <w:szCs w:val="17"/>
        </w:rPr>
        <w:t xml:space="preserve">).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7"/>
          <w:szCs w:val="17"/>
        </w:rPr>
      </w:pPr>
      <w:r>
        <w:rPr>
          <w:b w:val="0"/>
          <w:bCs w:val="0"/>
          <w:color w:val="auto"/>
          <w:sz w:val="17"/>
          <w:szCs w:val="17"/>
        </w:rPr>
        <w:t xml:space="preserve">Privacy: con l'iscrizione, i partecipanti (o chi esercita la responsabilità genitoriale sui minori) autorizzano, ai sensi del </w:t>
      </w:r>
      <w:r>
        <w:rPr>
          <w:b/>
          <w:bCs/>
          <w:color w:val="auto"/>
          <w:sz w:val="17"/>
          <w:szCs w:val="17"/>
        </w:rPr>
        <w:t xml:space="preserve">Regolamento (UE) 2016/679 (GDPR), artt. 6 e 13</w:t>
      </w:r>
      <w:r>
        <w:rPr>
          <w:b w:val="0"/>
          <w:bCs w:val="0"/>
          <w:color w:val="auto"/>
          <w:sz w:val="17"/>
          <w:szCs w:val="17"/>
        </w:rPr>
        <w:t xml:space="preserve">, il trattamento dei dati personali per la gestione del torneo e l'omologazione FSI/FIDE, nonché la pubblicazione di nominativi, risultati, classifiche, partite e immagini sui canali dell'organizzazione e della FSI.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7"/>
          <w:szCs w:val="17"/>
        </w:rPr>
      </w:pPr>
      <w:r>
        <w:rPr>
          <w:b/>
          <w:bCs/>
          <w:color w:val="auto"/>
          <w:sz w:val="17"/>
          <w:szCs w:val="17"/>
        </w:rPr>
        <w:t xml:space="preserve">Convenzione Benny Hotel</w:t>
      </w:r>
      <w:r>
        <w:rPr>
          <w:b w:val="0"/>
          <w:bCs w:val="0"/>
          <w:color w:val="auto"/>
          <w:sz w:val="17"/>
          <w:szCs w:val="17"/>
        </w:rPr>
        <w:t xml:space="preserve"> (IVA 10% e prima colazione incluse): camera singola B&amp;B € 50 – mezza pensione € 57 – pensione completa € 67; camera doppia (letti separati o matrimoniale) € 80 – € 105 – € 130. Pasti (pranzo o cena): adulti € 18, ragazzi sotto i 12 anni € 12.</w:t>
      </w:r>
    </w:p>
    <w:p>
      <w:r>
        <w:br w:type="page"/>
      </w:r>
    </w:p>
    <w:tbl>
      <w:tblPr>
        <w:tblW w:w="104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00"/>
        <w:gridCol w:w="7766"/>
      </w:tblGrid>
      <w:tr>
        <w:trPr>
          <w:cantSplit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0"/>
              <w:jc w:val="left"/>
            </w:pPr>
            <w:r>
              <w:drawing>
                <wp:inline distT="0" distB="0" distL="0" distR="0">
                  <wp:extent cx="1440000" cy="1048373"/>
                  <wp:docPr id="102" name="Logo FSI 102" descr="Logo Federazione Scacchistica Italiana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logo_fsi.png"/>
                          <pic:cNvPicPr/>
                        </pic:nvPicPr>
                        <pic:blipFill>
                          <a:blip r:embed="rIdLogoFS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48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 w:after="20"/>
              <w:jc w:val="righ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30"/>
                <w:szCs w:val="30"/>
              </w:rPr>
              <w:t xml:space="preserve">TORNEO BLITZ 3' + 2"</w:t>
            </w:r>
          </w:p>
          <w:p>
            <w:pPr>
              <w:spacing w:before="0" w:after="80"/>
              <w:jc w:val="righ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 xml:space="preserve">Catanzaro, martedì 8 dicembre 2026 (mattina)</w:t>
            </w:r>
          </w:p>
          <w:p>
            <w:pPr>
              <w:spacing w:before="0" w:after="0"/>
              <w:jc w:val="righ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21"/>
                <w:szCs w:val="21"/>
              </w:rPr>
              <w:t xml:space="preserve">Sede di gioco: </w:t>
            </w:r>
            <w:r>
              <w:rPr>
                <w:b/>
                <w:bCs/>
                <w:color w:val="auto"/>
                <w:sz w:val="21"/>
                <w:szCs w:val="21"/>
              </w:rPr>
              <w:t xml:space="preserve">Benny Hotel</w:t>
            </w:r>
          </w:p>
          <w:p>
            <w:pPr>
              <w:spacing w:before="0" w:after="80"/>
              <w:jc w:val="righ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20"/>
                <w:szCs w:val="20"/>
              </w:rPr>
              <w:t xml:space="preserve">Via Gioacchino da Fiore 2, 88100 Catanzaro (CZ)</w:t>
            </w:r>
          </w:p>
          <w:p>
            <w:pPr>
              <w:spacing w:before="0" w:after="0"/>
              <w:jc w:val="righ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i/>
                <w:iCs/>
                <w:color w:val="1F3A5F"/>
                <w:sz w:val="20"/>
                <w:szCs w:val="20"/>
              </w:rPr>
              <w:t xml:space="preserve">Torneo omologabile FIDE – Valido per le variazioni Elo FIDE Blitz</w:t>
            </w:r>
          </w:p>
        </w:tc>
      </w:tr>
    </w:tbl>
    <w:p>
      <w:pPr>
        <w:pBdr>
          <w:bottom w:val="double" w:color="1F3A5F" w:sz="6" w:space="4"/>
        </w:pBdr>
        <w:spacing w:before="0" w:after="100"/>
        <w:jc w:val="both"/>
        <w:rPr>
          <w:color w:val="auto"/>
          <w:sz w:val="19"/>
          <w:szCs w:val="19"/>
        </w:rPr>
      </w:pPr>
      <w:r>
        <w:rPr>
          <w:b w:val="0"/>
          <w:bCs w:val="0"/>
          <w:color w:val="auto"/>
          <w:sz w:val="8"/>
          <w:szCs w:val="8"/>
        </w:rPr>
        <w:t xml:space="preserve"/>
      </w:r>
    </w:p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 xml:space="preserve">ISCRIZIONI E AMMISSIONE</w:t>
      </w:r>
    </w:p>
    <w:tbl>
      <w:tblPr>
        <w:tblStyle w:val="9"/>
        <w:tblW w:w="10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7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Preiscrizione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Su vesus.org entro 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lunedì 7 dicembre 2026, ore 23:59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Iscrizione in sede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Entro le 9:45, fino a esaurimento dei posti disponibili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Quota d'iscrizione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€ 5</w:t>
            </w: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 (maggiorazione di 5 € dal 2 dicembre)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Giocatori italiani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Tessera FSI 2026 Ordinaria, Agonistica o Junior, oppure la sola Tessera FSI 2027 dello stesso tipo (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art. 3.2 Reg. tornei Rapid e Lampo</w:t>
            </w: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Giocatori stranieri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FIDE 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Rating per gli abbinamenti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Elo FIDE Blitz; in mancanza Elo FIDE Standard; in mancanza Elo Italia o, se assente, 1399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Info e contatti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Angelo Scrimieri 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393 755 1883</w:t>
            </w: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 – Sergio De Zerbi 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331 707 0568</w:t>
            </w:r>
          </w:p>
        </w:tc>
      </w:tr>
    </w:tbl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 xml:space="preserve">DETTAGLI TECNICI</w:t>
      </w:r>
    </w:p>
    <w:tbl>
      <w:tblPr>
        <w:tblStyle w:val="9"/>
        <w:tblW w:w="10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7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Formula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Svizzero FIDE, 7 turni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Cadenza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3 min + 2 sec/mossa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Tempo di tolleranza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Coincide con il tempo di riflessione del giocatore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Bye da abbinamento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1 punto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Spareggi tecnici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1. Buchholz Cut-1 (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BH-C1</w:t>
            </w: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) – 2. Buchholz (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BH</w:t>
            </w: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) – 3. Numero di partite vinte (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WIN</w:t>
            </w: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) – Handbook FIDE C.07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Patta a forfait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both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Non consentita (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art. 6.3.1 RTF</w:t>
            </w: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)</w:t>
            </w:r>
          </w:p>
        </w:tc>
      </w:tr>
    </w:tbl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 xml:space="preserve">CALENDARIO</w:t>
      </w:r>
    </w:p>
    <w:tbl>
      <w:tblPr>
        <w:tblStyle w:val="9"/>
        <w:tblW w:w="10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7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Attività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Orario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Accredito giocatori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9:15 – 9:45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1° turno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10:00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Turni successivi (2° – 7°)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Di seguito, senza interruzione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Premiazione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A seguire</w:t>
            </w:r>
          </w:p>
        </w:tc>
      </w:tr>
    </w:tbl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 xml:space="preserve">PREMIAZIONI</w:t>
      </w:r>
    </w:p>
    <w:tbl>
      <w:tblPr>
        <w:tblStyle w:val="9"/>
        <w:tblW w:w="10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7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Classifica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Premio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1° classificato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Coppa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2° classificato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shd w:val="clear" w:color="auto" w:fill="F2F4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Coppa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3° classificato</w:t>
            </w:r>
          </w:p>
        </w:tc>
        <w:tc>
          <w:tcPr>
            <w:tcW w:w="7966" w:type="dxa"/>
            <w:tcBorders>
              <w:top w:val="single" w:color="BFC5CE" w:sz="4" w:space="0"/>
              <w:left w:val="single" w:color="BFC5CE" w:sz="4" w:space="0"/>
              <w:bottom w:val="single" w:color="BFC5CE" w:sz="4" w:space="0"/>
              <w:right w:val="single" w:color="BFC5CE" w:sz="4" w:space="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color w:val="auto"/>
                <w:sz w:val="19"/>
                <w:szCs w:val="19"/>
              </w:rPr>
            </w:pPr>
            <w:r>
              <w:rPr>
                <w:b w:val="0"/>
                <w:bCs w:val="0"/>
                <w:color w:val="auto"/>
                <w:sz w:val="19"/>
                <w:szCs w:val="19"/>
              </w:rPr>
              <w:t xml:space="preserve">Coppa</w:t>
            </w:r>
          </w:p>
        </w:tc>
      </w:tr>
    </w:tbl>
    <w:p>
      <w:pPr>
        <w:keepNext/>
        <w:pBdr>
          <w:bottom w:val="single" w:color="B8860B" w:sz="8" w:space="2"/>
        </w:pBdr>
        <w:spacing w:before="140" w:after="80"/>
        <w:jc w:val="both"/>
        <w:rPr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 xml:space="preserve">ULTERIORI INFORMAZIONI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9"/>
          <w:szCs w:val="19"/>
        </w:rPr>
      </w:pPr>
      <w:r>
        <w:rPr>
          <w:b w:val="0"/>
          <w:bCs w:val="0"/>
          <w:color w:val="auto"/>
          <w:sz w:val="19"/>
          <w:szCs w:val="19"/>
        </w:rPr>
        <w:t xml:space="preserve">Si applica l'Appendice B.3 delle Laws. Per tutto ciò che non è previsto dal bando si rimanda ai Regolamenti FSI e FIDE.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9"/>
          <w:szCs w:val="19"/>
        </w:rPr>
      </w:pPr>
      <w:r>
        <w:rPr>
          <w:b w:val="0"/>
          <w:bCs w:val="0"/>
          <w:color w:val="auto"/>
          <w:sz w:val="19"/>
          <w:szCs w:val="19"/>
        </w:rPr>
        <w:t xml:space="preserve">Dispositivi elettronici: nell'area di gioco è vietato portare telefoni cellulari o altri dispositivi elettronici non autorizzati dall'arbitro, salvo che siano completamente spenti e riposti in una borsa. La violazione comporta la perdita della partita (</w:t>
      </w:r>
      <w:r>
        <w:rPr>
          <w:b/>
          <w:bCs/>
          <w:color w:val="auto"/>
          <w:sz w:val="19"/>
          <w:szCs w:val="19"/>
        </w:rPr>
        <w:t xml:space="preserve">art. 11.3 Regolamento FIDE</w:t>
      </w:r>
      <w:r>
        <w:rPr>
          <w:b w:val="0"/>
          <w:bCs w:val="0"/>
          <w:color w:val="auto"/>
          <w:sz w:val="19"/>
          <w:szCs w:val="19"/>
        </w:rPr>
        <w:t xml:space="preserve">).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9"/>
          <w:szCs w:val="19"/>
        </w:rPr>
      </w:pPr>
      <w:r>
        <w:rPr>
          <w:b w:val="0"/>
          <w:bCs w:val="0"/>
          <w:color w:val="auto"/>
          <w:sz w:val="19"/>
          <w:szCs w:val="19"/>
        </w:rPr>
        <w:t xml:space="preserve">Le decisioni dell'Arbitro Principale sono inappellabili, salvo i casi previsti dai regolamenti FSI e FIDE (</w:t>
      </w:r>
      <w:r>
        <w:rPr>
          <w:b/>
          <w:bCs/>
          <w:color w:val="auto"/>
          <w:sz w:val="19"/>
          <w:szCs w:val="19"/>
        </w:rPr>
        <w:t xml:space="preserve">art. 6.7.2 RTF</w:t>
      </w:r>
      <w:r>
        <w:rPr>
          <w:b w:val="0"/>
          <w:bCs w:val="0"/>
          <w:color w:val="auto"/>
          <w:sz w:val="19"/>
          <w:szCs w:val="19"/>
        </w:rPr>
        <w:t xml:space="preserve">).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9"/>
          <w:szCs w:val="19"/>
        </w:rPr>
      </w:pPr>
      <w:r>
        <w:rPr>
          <w:b w:val="0"/>
          <w:bCs w:val="0"/>
          <w:color w:val="auto"/>
          <w:sz w:val="19"/>
          <w:szCs w:val="19"/>
        </w:rPr>
        <w:t xml:space="preserve">L'organizzazione si riserva di apportare al bando le modifiche necessarie alla buona riuscita della manifestazione.</w:t>
      </w:r>
    </w:p>
    <w:p>
      <w:pPr>
        <w:pStyle w:val="16"/>
        <w:numPr>
          <w:ilvl w:val="0"/>
          <w:numId w:val="1"/>
        </w:numPr>
        <w:spacing w:before="0" w:after="30"/>
        <w:jc w:val="both"/>
        <w:rPr>
          <w:color w:val="auto"/>
          <w:sz w:val="19"/>
          <w:szCs w:val="19"/>
        </w:rPr>
      </w:pPr>
      <w:r>
        <w:rPr>
          <w:b w:val="0"/>
          <w:bCs w:val="0"/>
          <w:color w:val="auto"/>
          <w:sz w:val="19"/>
          <w:szCs w:val="19"/>
        </w:rPr>
        <w:t xml:space="preserve">Privacy: ai sensi dell'</w:t>
      </w:r>
      <w:r>
        <w:rPr>
          <w:b/>
          <w:bCs/>
          <w:color w:val="auto"/>
          <w:sz w:val="19"/>
          <w:szCs w:val="19"/>
        </w:rPr>
        <w:t xml:space="preserve">art. 5.3 del Regolamento tornei Rapid e Lampo</w:t>
      </w:r>
      <w:r>
        <w:rPr>
          <w:b w:val="0"/>
          <w:bCs w:val="0"/>
          <w:color w:val="auto"/>
          <w:sz w:val="19"/>
          <w:szCs w:val="19"/>
        </w:rPr>
        <w:t xml:space="preserve">, la FSI ha facoltà di gestire i dati dei partecipanti (cognome, nome, categoria, provincia, data di nascita, Elo) per i propri fini istituzionali, compresa la pubblicazione sul sito federale. Con l'iscrizione i partecipanti ne prendono atto e autorizzano, ai sensi del </w:t>
      </w:r>
      <w:r>
        <w:rPr>
          <w:b/>
          <w:bCs/>
          <w:color w:val="auto"/>
          <w:sz w:val="19"/>
          <w:szCs w:val="19"/>
        </w:rPr>
        <w:t xml:space="preserve">Regolamento (UE) 2016/679 (GDPR), artt. 6 e 13</w:t>
      </w:r>
      <w:r>
        <w:rPr>
          <w:b w:val="0"/>
          <w:bCs w:val="0"/>
          <w:color w:val="auto"/>
          <w:sz w:val="19"/>
          <w:szCs w:val="19"/>
        </w:rPr>
        <w:t xml:space="preserve">, il trattamento dei dati e la pubblicazione di risultati e immagini.</w:t>
      </w:r>
    </w:p>
    <w:sectPr>
      <w:footerReference r:id="rId3" w:type="default"/>
      <w:pgSz w:w="11906" w:h="16838"/>
      <w:pgMar w:top="720" w:right="720" w:bottom="720" w:left="720" w:header="708" w:footer="40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3F766">
    <w:pPr>
      <w:jc w:val="center"/>
    </w:pPr>
    <w:r>
      <w:rPr>
        <w:color w:val="808080"/>
        <w:sz w:val="16"/>
        <w:szCs w:val="16"/>
      </w:rPr>
      <w:t xml:space="preserve">Memorial Sandro Scalise 2026 – pag.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 xml:space="preserve">PAGE</w:instrText>
    </w:r>
    <w:r>
      <w:rPr>
        <w:color w:val="808080"/>
        <w:sz w:val="16"/>
        <w:szCs w:val="16"/>
      </w:rPr>
      <w:fldChar w:fldCharType="separate"/>
    </w:r>
    <w:r>
      <w:rPr>
        <w:color w:val="808080"/>
        <w:sz w:val="16"/>
        <w:szCs w:val="16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0CDF5EDC"/>
    <w:rsid w:val="12B27FD5"/>
    <w:rsid w:val="18FF66D3"/>
    <w:rsid w:val="353022AF"/>
    <w:rsid w:val="48F0214B"/>
    <w:rsid w:val="5AE76343"/>
    <w:rsid w:val="5E526A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1"/>
      <w:szCs w:val="21"/>
    </w:rPr>
  </w:style>
  <w:style w:type="paragraph" w:styleId="2">
    <w:name w:val="heading 1"/>
    <w:next w:val="1"/>
    <w:qFormat/>
    <w:uiPriority w:val="0"/>
    <w:rPr>
      <w:rFonts w:ascii="Calibri" w:hAnsi="Calibri" w:eastAsia="Calibri" w:cs="Calibr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Calibri" w:hAnsi="Calibri" w:eastAsia="Calibri" w:cs="Calibr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Calibri" w:hAnsi="Calibri" w:eastAsia="Calibri" w:cs="Calibr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Calibri" w:hAnsi="Calibri" w:eastAsia="Calibri" w:cs="Calibri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Calibri" w:hAnsi="Calibri" w:eastAsia="Calibri" w:cs="Calibri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Calibri" w:hAnsi="Calibri" w:eastAsia="Calibri" w:cs="Calibri"/>
      <w:color w:val="1F4D78"/>
      <w:sz w:val="21"/>
      <w:szCs w:val="21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paragraph" w:styleId="14">
    <w:name w:val="footnote text"/>
    <w:link w:val="17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paragraph" w:styleId="15">
    <w:name w:val="Title"/>
    <w:qFormat/>
    <w:uiPriority w:val="0"/>
    <w:rPr>
      <w:rFonts w:ascii="Calibri" w:hAnsi="Calibri" w:eastAsia="Calibri" w:cs="Calibri"/>
      <w:sz w:val="56"/>
      <w:szCs w:val="56"/>
    </w:rPr>
  </w:style>
  <w:style w:type="paragraph" w:styleId="16">
    <w:name w:val="List Paragraph"/>
    <w:qFormat/>
    <w:uiPriority w:val="0"/>
    <w:rPr>
      <w:rFonts w:ascii="Calibri" w:hAnsi="Calibri" w:eastAsia="Calibri" w:cs="Calibri"/>
      <w:sz w:val="21"/>
      <w:szCs w:val="21"/>
    </w:rPr>
  </w:style>
  <w:style w:type="character" w:customStyle="1" w:styleId="17">
    <w:name w:val="Footnote Text Char"/>
    <w:link w:val="14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uiPriority w:val="99"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LogoFSI" Type="http://schemas.openxmlformats.org/officeDocument/2006/relationships/image" Target="media/logo_fsi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1285</Words>
  <Characters>6806</Characters>
  <TotalTime>17</TotalTime>
  <ScaleCrop>false</ScaleCrop>
  <LinksUpToDate>false</LinksUpToDate>
  <CharactersWithSpaces>7814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2026-09-28T09:30:00Z</dcterms:created>
  <dc:creator>Davide Nudo</dc:creator>
  <cp:lastModifiedBy>Davide Nudo</cp:lastModifiedBy>
  <dcterms:modified xsi:type="dcterms:W3CDTF">2026-09-28T09:54:39Z</dcterms:modified>
  <dc:title>Bandi Memorial Sandro Scalise 2026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eyJoZGlkIjoiNWE2YzY3NGVmZDk0MThiZDc5NThhYjEwZDNmY2RjMGYiLCJ1c2VySWQiOiIyMDc5MjY5MDY3Nzc5In0=</vt:lpwstr>
  </property>
  <property fmtid="{D5CDD505-2E9C-101B-9397-08002B2CF9AE}" pid="3" name="KSOProductBuildVer">
    <vt:lpwstr>1040-12.1.0.28485</vt:lpwstr>
  </property>
  <property fmtid="{D5CDD505-2E9C-101B-9397-08002B2CF9AE}" pid="4" name="ICV">
    <vt:lpwstr>3D8A75E8BB83478E92587DDE784AC7DD_12</vt:lpwstr>
  </property>
</Properties>
</file>